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59" w:rsidRPr="00103617" w:rsidRDefault="00564F59" w:rsidP="00564F59">
      <w:pPr>
        <w:jc w:val="center"/>
        <w:rPr>
          <w:rFonts w:ascii="Tahoma" w:eastAsia="Calibri" w:hAnsi="Tahoma" w:cs="Tahoma"/>
          <w:b/>
          <w:sz w:val="48"/>
          <w:szCs w:val="48"/>
        </w:rPr>
      </w:pPr>
      <w:r w:rsidRPr="00103617">
        <w:rPr>
          <w:rFonts w:ascii="Tahoma" w:eastAsia="Calibri" w:hAnsi="Tahoma" w:cs="Tahoma"/>
          <w:b/>
          <w:sz w:val="48"/>
          <w:szCs w:val="48"/>
        </w:rPr>
        <w:t>AVISO</w:t>
      </w:r>
    </w:p>
    <w:p w:rsidR="00564F59" w:rsidRPr="00103617" w:rsidRDefault="00564F59" w:rsidP="00564F59">
      <w:pPr>
        <w:jc w:val="center"/>
        <w:rPr>
          <w:rFonts w:ascii="Tahoma" w:eastAsia="Calibri" w:hAnsi="Tahoma" w:cs="Tahoma"/>
          <w:b/>
          <w:sz w:val="48"/>
          <w:szCs w:val="48"/>
        </w:rPr>
      </w:pPr>
    </w:p>
    <w:p w:rsidR="00564F59" w:rsidRPr="00103617" w:rsidRDefault="00564F59" w:rsidP="00564F5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6"/>
          <w:szCs w:val="26"/>
        </w:rPr>
      </w:pPr>
      <w:r w:rsidRPr="00103617">
        <w:rPr>
          <w:rFonts w:ascii="Tahoma" w:eastAsia="Calibri" w:hAnsi="Tahoma" w:cs="Tahoma"/>
          <w:b/>
          <w:bCs/>
          <w:color w:val="000000"/>
          <w:sz w:val="26"/>
          <w:szCs w:val="26"/>
        </w:rPr>
        <w:t>CONVOCATORIA A CONSULTA PÚBLICA</w:t>
      </w:r>
    </w:p>
    <w:p w:rsidR="00564F59" w:rsidRPr="00103617" w:rsidRDefault="00564F59" w:rsidP="00564F5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:rsidR="00564F59" w:rsidRPr="0073592B" w:rsidRDefault="00564F59" w:rsidP="00564F59">
      <w:pPr>
        <w:pStyle w:val="Piedepgina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El Ministerio de Industria, Comercio y Mipymes (MICM), en cumplimiento de las disposiciones de los artículos 23 y siguientes, de la Ley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núm. 200-04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General de Libre Acceso a la Información Pública, del 28 de julio de 2004; los artículos 45 y siguientes, de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su Reglamento de Aplicación, Decreto núm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.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130-05, del 25 de febrero de 2005; y los artículos 30 y siguientes, de la Ley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núm. 107-13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sobre los Derechos de las Personas en sus Relaciones con la Administración y de Procedimiento Administrativo, del 6 de agosto de 2013, </w:t>
      </w:r>
      <w:r w:rsidRPr="00103617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CONVOCA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a todas las personas interesadas a realizar sus comentarios, observaciones y sugerencias </w:t>
      </w:r>
      <w:r w:rsidRPr="00564F59">
        <w:rPr>
          <w:rFonts w:ascii="Tahoma" w:eastAsia="Calibri" w:hAnsi="Tahoma" w:cs="Tahoma"/>
          <w:color w:val="000000"/>
          <w:sz w:val="24"/>
          <w:szCs w:val="24"/>
        </w:rPr>
        <w:t>acerca del</w:t>
      </w:r>
      <w:r w:rsidRPr="00564F59">
        <w:rPr>
          <w:rFonts w:ascii="Tahoma" w:eastAsia="Calibri" w:hAnsi="Tahoma" w:cs="Tahoma"/>
          <w:b/>
          <w:color w:val="000000"/>
          <w:sz w:val="24"/>
          <w:szCs w:val="24"/>
        </w:rPr>
        <w:t xml:space="preserve"> proyecto de resolución que</w:t>
      </w:r>
      <w:r w:rsidRPr="00564F59">
        <w:rPr>
          <w:rFonts w:ascii="Tahoma" w:hAnsi="Tahoma" w:cs="Tahoma"/>
          <w:b/>
          <w:sz w:val="24"/>
          <w:szCs w:val="24"/>
        </w:rPr>
        <w:t xml:space="preserve"> establece</w:t>
      </w:r>
      <w:r w:rsidRPr="00564F59">
        <w:rPr>
          <w:rFonts w:ascii="Tahoma" w:hAnsi="Tahoma" w:cs="Tahoma"/>
          <w:b/>
          <w:sz w:val="24"/>
          <w:szCs w:val="24"/>
        </w:rPr>
        <w:t>rá</w:t>
      </w:r>
      <w:r w:rsidRPr="00564F59">
        <w:rPr>
          <w:rFonts w:ascii="Tahoma" w:hAnsi="Tahoma" w:cs="Tahoma"/>
          <w:b/>
          <w:sz w:val="24"/>
          <w:szCs w:val="24"/>
        </w:rPr>
        <w:t xml:space="preserve"> los requisitos para las licencias, autorizaciones, renovaciones y extensiones para las actividades relativas a los almacenes generales de depósito (AGD)</w:t>
      </w:r>
      <w:r w:rsidRPr="00564F59">
        <w:rPr>
          <w:rFonts w:ascii="Tahoma" w:eastAsia="Calibri" w:hAnsi="Tahoma" w:cs="Tahoma"/>
          <w:b/>
          <w:color w:val="000000"/>
          <w:sz w:val="24"/>
          <w:szCs w:val="24"/>
        </w:rPr>
        <w:t>.</w:t>
      </w:r>
    </w:p>
    <w:p w:rsidR="00564F59" w:rsidRPr="00103617" w:rsidRDefault="00564F59" w:rsidP="00564F59">
      <w:pPr>
        <w:pStyle w:val="Piedepgina"/>
        <w:jc w:val="both"/>
        <w:rPr>
          <w:rFonts w:ascii="Tahoma" w:hAnsi="Tahoma" w:cs="Tahoma"/>
          <w:b/>
          <w:bCs/>
          <w:sz w:val="24"/>
          <w:szCs w:val="24"/>
        </w:rPr>
      </w:pPr>
    </w:p>
    <w:p w:rsidR="00564F59" w:rsidRPr="002B0B7B" w:rsidRDefault="00564F59" w:rsidP="00564F59">
      <w:pPr>
        <w:pStyle w:val="Piedepgina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La versión digital del </w:t>
      </w:r>
      <w:r w:rsidRPr="00564F59">
        <w:rPr>
          <w:rFonts w:ascii="Tahoma" w:eastAsia="Calibri" w:hAnsi="Tahoma" w:cs="Tahoma"/>
          <w:b/>
          <w:color w:val="000000"/>
          <w:sz w:val="24"/>
          <w:szCs w:val="24"/>
        </w:rPr>
        <w:t>proyecto de resolución que</w:t>
      </w:r>
      <w:r w:rsidRPr="00564F59">
        <w:rPr>
          <w:rFonts w:ascii="Tahoma" w:hAnsi="Tahoma" w:cs="Tahoma"/>
          <w:b/>
          <w:sz w:val="24"/>
          <w:szCs w:val="24"/>
        </w:rPr>
        <w:t xml:space="preserve"> establecerá los requisitos para las licencias, autorizaciones, renovaciones y extensiones para las actividades relativas a los almacenes generales de depósito (AGD)</w:t>
      </w:r>
      <w:bookmarkStart w:id="0" w:name="_GoBack"/>
      <w:bookmarkEnd w:id="0"/>
      <w:r>
        <w:rPr>
          <w:rFonts w:ascii="Tahoma" w:eastAsia="Calibri" w:hAnsi="Tahoma" w:cs="Tahoma"/>
          <w:b/>
          <w:color w:val="000000"/>
          <w:sz w:val="24"/>
          <w:szCs w:val="24"/>
        </w:rPr>
        <w:t>,</w:t>
      </w:r>
      <w:r w:rsidRPr="00103617">
        <w:rPr>
          <w:rFonts w:ascii="Tahoma" w:eastAsia="Calibri" w:hAnsi="Tahoma" w:cs="Tahoma"/>
          <w:b/>
          <w:color w:val="000000"/>
          <w:sz w:val="24"/>
          <w:szCs w:val="24"/>
        </w:rPr>
        <w:t xml:space="preserve">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se encuentra disponible en la página web del Ministerio de Industria, Comercio y Mipymes www.micm.gob.do. Las observaciones, recomendaciones y sugerencias sobre este proyecto de resolución deberán ser hechas por escrito, acompañadas de los documentos que las fundamenten, y remitidas a nuestro correo electrónico, consulta</w:t>
      </w:r>
      <w:r>
        <w:rPr>
          <w:rFonts w:ascii="Tahoma" w:eastAsia="Calibri" w:hAnsi="Tahoma" w:cs="Tahoma"/>
          <w:color w:val="000000"/>
          <w:sz w:val="24"/>
          <w:szCs w:val="24"/>
        </w:rPr>
        <w:t>s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publica</w:t>
      </w:r>
      <w:r>
        <w:rPr>
          <w:rFonts w:ascii="Tahoma" w:eastAsia="Calibri" w:hAnsi="Tahoma" w:cs="Tahoma"/>
          <w:color w:val="000000"/>
          <w:sz w:val="24"/>
          <w:szCs w:val="24"/>
        </w:rPr>
        <w:t>s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@micm.gob.do, o depositadas en físico en la sede del Ministerio de Industria, Comercio y Mipymes (MICM</w:t>
      </w:r>
      <w:r w:rsidRPr="001E58D9">
        <w:rPr>
          <w:rFonts w:ascii="Tahoma" w:eastAsia="Calibri" w:hAnsi="Tahoma" w:cs="Tahoma"/>
          <w:sz w:val="24"/>
          <w:szCs w:val="24"/>
        </w:rPr>
        <w:t>), con atención a la Dirección Jurídica, ubicado  en la Avenida 27 de Febrero No. 306, Torre MICM, Piso 6, Ensanche Bella Vista, de la ciudad de Santo Domingo, Distrito Nacional.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Esta convocatoria a consulta pública tiene una duración de </w:t>
      </w:r>
      <w:r w:rsidRPr="00103617">
        <w:rPr>
          <w:rFonts w:ascii="Tahoma" w:eastAsia="Calibri" w:hAnsi="Tahoma" w:cs="Tahoma"/>
          <w:b/>
          <w:bCs/>
          <w:color w:val="000000"/>
          <w:sz w:val="24"/>
          <w:szCs w:val="24"/>
        </w:rPr>
        <w:t>veinticinco (25) días hábiles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.</w:t>
      </w:r>
    </w:p>
    <w:p w:rsidR="00564F59" w:rsidRPr="00103617" w:rsidRDefault="00564F59" w:rsidP="00564F5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:rsidR="00564F59" w:rsidRPr="00F1311B" w:rsidRDefault="00564F59" w:rsidP="00564F59">
      <w:p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103617">
        <w:rPr>
          <w:rFonts w:ascii="Tahoma" w:hAnsi="Tahoma" w:cs="Tahoma"/>
          <w:sz w:val="24"/>
          <w:szCs w:val="24"/>
        </w:rPr>
        <w:t>En Santo Domingo, Distrito Nacional, capital de la República Dominicana,</w:t>
      </w:r>
      <w:r>
        <w:rPr>
          <w:rFonts w:ascii="Tahoma" w:hAnsi="Tahoma" w:cs="Tahoma"/>
          <w:sz w:val="24"/>
          <w:szCs w:val="24"/>
        </w:rPr>
        <w:t xml:space="preserve"> a los ocho (8) </w:t>
      </w:r>
      <w:r w:rsidRPr="00103617">
        <w:rPr>
          <w:rFonts w:ascii="Tahoma" w:hAnsi="Tahoma" w:cs="Tahoma"/>
          <w:sz w:val="24"/>
          <w:szCs w:val="24"/>
        </w:rPr>
        <w:t xml:space="preserve">días del mes de </w:t>
      </w:r>
      <w:r>
        <w:rPr>
          <w:rFonts w:ascii="Tahoma" w:hAnsi="Tahoma" w:cs="Tahoma"/>
          <w:sz w:val="24"/>
          <w:szCs w:val="24"/>
        </w:rPr>
        <w:t>marzo</w:t>
      </w:r>
      <w:r w:rsidRPr="00103617">
        <w:rPr>
          <w:rFonts w:ascii="Tahoma" w:hAnsi="Tahoma" w:cs="Tahoma"/>
          <w:sz w:val="24"/>
          <w:szCs w:val="24"/>
        </w:rPr>
        <w:t xml:space="preserve"> del año </w:t>
      </w:r>
      <w:r>
        <w:rPr>
          <w:rFonts w:ascii="Tahoma" w:hAnsi="Tahoma" w:cs="Tahoma"/>
          <w:sz w:val="24"/>
          <w:szCs w:val="24"/>
        </w:rPr>
        <w:t>dos mil veintiuno (2021</w:t>
      </w:r>
      <w:r w:rsidRPr="00103617">
        <w:rPr>
          <w:rFonts w:ascii="Tahoma" w:hAnsi="Tahoma" w:cs="Tahoma"/>
          <w:sz w:val="24"/>
          <w:szCs w:val="24"/>
        </w:rPr>
        <w:t>).</w:t>
      </w:r>
    </w:p>
    <w:p w:rsidR="00DA5DC1" w:rsidRDefault="0029432C"/>
    <w:sectPr w:rsidR="00DA5DC1" w:rsidSect="001E58D9">
      <w:headerReference w:type="default" r:id="rId6"/>
      <w:pgSz w:w="12240" w:h="15840"/>
      <w:pgMar w:top="2796" w:right="1325" w:bottom="1417" w:left="1701" w:header="426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2C" w:rsidRDefault="0029432C" w:rsidP="00564F59">
      <w:pPr>
        <w:spacing w:after="0" w:line="240" w:lineRule="auto"/>
      </w:pPr>
      <w:r>
        <w:separator/>
      </w:r>
    </w:p>
  </w:endnote>
  <w:endnote w:type="continuationSeparator" w:id="0">
    <w:p w:rsidR="0029432C" w:rsidRDefault="0029432C" w:rsidP="0056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2C" w:rsidRDefault="0029432C" w:rsidP="00564F59">
      <w:pPr>
        <w:spacing w:after="0" w:line="240" w:lineRule="auto"/>
      </w:pPr>
      <w:r>
        <w:separator/>
      </w:r>
    </w:p>
  </w:footnote>
  <w:footnote w:type="continuationSeparator" w:id="0">
    <w:p w:rsidR="0029432C" w:rsidRDefault="0029432C" w:rsidP="0056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9E" w:rsidRPr="00ED029E" w:rsidRDefault="0029432C" w:rsidP="00ED029E">
    <w:pPr>
      <w:pStyle w:val="Encabezado"/>
      <w:jc w:val="center"/>
      <w:rPr>
        <w:rFonts w:ascii="Tahoma" w:hAnsi="Tahoma" w:cs="Tahoma"/>
        <w:b/>
        <w:bCs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D9B1DB5" wp14:editId="62CF5E07">
          <wp:simplePos x="0" y="0"/>
          <wp:positionH relativeFrom="column">
            <wp:posOffset>-1078865</wp:posOffset>
          </wp:positionH>
          <wp:positionV relativeFrom="paragraph">
            <wp:posOffset>-480060</wp:posOffset>
          </wp:positionV>
          <wp:extent cx="7769860" cy="10054590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00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59"/>
    <w:rsid w:val="00096A4F"/>
    <w:rsid w:val="00107C87"/>
    <w:rsid w:val="00131D7D"/>
    <w:rsid w:val="00215727"/>
    <w:rsid w:val="00246462"/>
    <w:rsid w:val="0029432C"/>
    <w:rsid w:val="002F1C69"/>
    <w:rsid w:val="00453576"/>
    <w:rsid w:val="00564F59"/>
    <w:rsid w:val="00576316"/>
    <w:rsid w:val="005B755B"/>
    <w:rsid w:val="008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58038-E3A2-4644-B93E-E9C34AA3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59"/>
    <w:pPr>
      <w:spacing w:after="200" w:line="276" w:lineRule="auto"/>
    </w:pPr>
    <w:rPr>
      <w:rFonts w:ascii="Calibri" w:eastAsia="MS Mincho" w:hAnsi="Calibri" w:cs="Times New Roman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64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64F59"/>
    <w:rPr>
      <w:rFonts w:ascii="Calibri" w:eastAsia="MS Mincho" w:hAnsi="Calibri" w:cs="Times New Roman"/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564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F59"/>
    <w:rPr>
      <w:rFonts w:ascii="Calibri" w:eastAsia="MS Mincho" w:hAnsi="Calibri" w:cs="Times New Roman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Tejada</dc:creator>
  <cp:keywords/>
  <dc:description/>
  <cp:lastModifiedBy>José Tejada</cp:lastModifiedBy>
  <cp:revision>1</cp:revision>
  <dcterms:created xsi:type="dcterms:W3CDTF">2021-03-02T21:12:00Z</dcterms:created>
  <dcterms:modified xsi:type="dcterms:W3CDTF">2021-03-02T21:28:00Z</dcterms:modified>
</cp:coreProperties>
</file>